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Vitaly Kolpakov</w:t>
      </w:r>
    </w:p>
    <w:p>
      <w:pPr>
        <w:spacing w:after="40" w:before="0"/>
      </w:pPr>
      <w:r>
        <w:rPr>
          <w:rFonts w:ascii="Calibri" w:cs="Calibri" w:eastAsia="Calibri" w:hAnsi="Calibri"/>
          <w:b/>
          <w:bCs/>
          <w:i w:val="false"/>
          <w:iCs w:val="false"/>
          <w:sz w:val="22"/>
          <w:szCs w:val="22"/>
        </w:rPr>
        <w:t xml:space="preserve">Product Designer — AI Agents &amp; Web3</w:t>
      </w:r>
    </w:p>
    <w:p>
      <w:pPr>
        <w:spacing w:after="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Remote — UTC+3, full overlap with European hours</w:t>
      </w:r>
    </w:p>
    <w:p>
      <w:pPr>
        <w:spacing w:after="6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vitaly@rev04.pro  |  https://rev04.pro/#work  |  https://www.linkedin.com/in/vitaly-kolpakov  |  WhatsApp: @xray_yankee3</w:t>
      </w:r>
    </w:p>
    <w:p>
      <w:pPr>
        <w:pBdr>
          <w:bottom w:val="single" w:color="999999" w:sz="6" w:space="2"/>
        </w:pBdr>
        <w:spacing w:after="120" w:before="2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SUMMARY</w:t>
      </w:r>
    </w:p>
    <w:p>
      <w:pPr>
        <w:spacing w:after="10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Product designer for AI agents and Web3, engineer by training. I work on the hardest part of agentic and on-chain interfaces: how people supervise, trust and control autonomous systems, and how to make irreversible, high-stakes actions legible. My thesis is that in these products trust, legibility and auditability are not soft qualities — they are the product.</w:t>
      </w:r>
    </w:p>
    <w:p>
      <w:pPr>
        <w:spacing w:after="10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I ship on an agentic stack — Claude Code, MCP, Figma MCP with Code Connect, Cursor — which takes a product from definition to working code prototype and clean front-end handoff at a pace that normally requires a small team. Where an interaction cannot be judged from a flat screen, I build it in code rather than mocking it. I hold a flagship platform of 2,000+ screen states on a single pattern library, lead a group of four designers, and run product-metric discipline end to end.</w:t>
      </w:r>
    </w:p>
    <w:p>
      <w:pPr>
        <w:spacing w:after="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My first career was in enterprise sales, and it is where my stakeholder management came from: I can run the room where the decision is made and defend a design decision in commercial terms, not craft terms.</w:t>
      </w:r>
    </w:p>
    <w:p>
      <w:pPr>
        <w:pBdr>
          <w:bottom w:val="single" w:color="999999" w:sz="6" w:space="2"/>
        </w:pBdr>
        <w:spacing w:after="120" w:before="2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EXPERIENCE</w:t>
      </w:r>
    </w:p>
    <w:p>
      <w:pPr>
        <w:spacing w:after="2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SingularityNET / ASI Alliance</w:t>
      </w:r>
      <w:r>
        <w:rPr>
          <w:rFonts w:ascii="Calibri" w:cs="Calibri" w:eastAsia="Calibri" w:hAnsi="Calibri"/>
          <w:sz w:val="22"/>
          <w:szCs w:val="22"/>
        </w:rPr>
        <w:t xml:space="preserve">  |  2022 – Present</w:t>
      </w:r>
    </w:p>
    <w:p>
      <w:pPr>
        <w:spacing w:after="40" w:before="0"/>
      </w:pPr>
      <w:r>
        <w:rPr>
          <w:rFonts w:ascii="Calibri" w:cs="Calibri" w:eastAsia="Calibri" w:hAnsi="Calibri"/>
          <w:b w:val="false"/>
          <w:bCs w:val="false"/>
          <w:i/>
          <w:iCs/>
          <w:sz w:val="20"/>
          <w:szCs w:val="20"/>
        </w:rPr>
        <w:t xml:space="preserve">Product design across a large AI/Web3 ecosystem. Longest-running product: ASI Create, a platform for building and orchestrating agents.</w:t>
      </w:r>
    </w:p>
    <w:p>
      <w:pPr>
        <w:spacing w:after="40" w:before="1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Lead Product Designer</w:t>
      </w:r>
      <w:r>
        <w:rPr>
          <w:rFonts w:ascii="Calibri" w:cs="Calibri" w:eastAsia="Calibri" w:hAnsi="Calibri"/>
          <w:sz w:val="21"/>
          <w:szCs w:val="21"/>
        </w:rPr>
        <w:t xml:space="preserve">  |  2024 – Present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Lead a group of four designers: set direction, review work and own their growth.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Introduced the design review process and a designer onboarding track — cut ramp-up time for new designers and made quality repeatable across the ecosystem.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Built an agent-assisted design pipeline (Claude Code, MCP, Figma MCP with Code Connect) that removed the need for additional design headcount and brought product launch cycles down to roughly three weeks.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Take concepts to working code prototypes (Cursor, Claude Code, v0) instead of static mockups — latency, failure states and probabilistic output cannot be judged from a flat screen.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Maintain a flagship platform of 2,000+ screen states on a single 500+ component pattern library, documented for engineering handoff, largely solo.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The constant through reorgs, pivots and successive product owners — held the product’s core message and key features, and carried context across leadership changes.</w:t>
      </w:r>
    </w:p>
    <w:p>
      <w:pPr>
        <w:spacing w:after="40" w:before="1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Product Designer</w:t>
      </w:r>
      <w:r>
        <w:rPr>
          <w:rFonts w:ascii="Calibri" w:cs="Calibri" w:eastAsia="Calibri" w:hAnsi="Calibri"/>
          <w:sz w:val="21"/>
          <w:szCs w:val="21"/>
        </w:rPr>
        <w:t xml:space="preserve">  |  2022 – 2024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Originated and owned the agent experience — the user-to-agent interaction model and core UX flows — and aligned flows across the ecosystem.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Built the design system that the platform still runs on: tokens, component library and developer handoff.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Introduced product-metric discipline: defined the North Star (agent creation by new users) and grew the platform to approximately 1,500 active users.</w:t>
      </w:r>
    </w:p>
    <w:p>
      <w:pPr>
        <w:spacing w:after="2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OLLY IT</w:t>
      </w:r>
      <w:r>
        <w:rPr>
          <w:rFonts w:ascii="Calibri" w:cs="Calibri" w:eastAsia="Calibri" w:hAnsi="Calibri"/>
          <w:sz w:val="22"/>
          <w:szCs w:val="22"/>
        </w:rPr>
        <w:t xml:space="preserve">  |  2017 – 2022</w:t>
      </w:r>
    </w:p>
    <w:p>
      <w:pPr>
        <w:spacing w:after="40" w:before="0"/>
      </w:pPr>
      <w:r>
        <w:rPr>
          <w:rFonts w:ascii="Calibri" w:cs="Calibri" w:eastAsia="Calibri" w:hAnsi="Calibri"/>
          <w:b w:val="false"/>
          <w:bCs w:val="false"/>
          <w:i/>
          <w:iCs/>
          <w:sz w:val="20"/>
          <w:szCs w:val="20"/>
        </w:rPr>
        <w:t xml:space="preserve">Enterprise hardware distributor. Moved from the commercial side of the business into design.</w:t>
      </w:r>
    </w:p>
    <w:p>
      <w:pPr>
        <w:spacing w:after="40" w:before="1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Marketing and Product Design</w:t>
      </w:r>
      <w:r>
        <w:rPr>
          <w:rFonts w:ascii="Calibri" w:cs="Calibri" w:eastAsia="Calibri" w:hAnsi="Calibri"/>
          <w:sz w:val="21"/>
          <w:szCs w:val="21"/>
        </w:rPr>
        <w:t xml:space="preserve">  |  2020 – 2022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Brought in three enterprise clients through campaign work combined with in-person meetings.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Restructured the website; a pipeline change lifted conversion 1.3x.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Packaged vendor programmes for Dell, HPE, Huawei and Cisco — promo sites for storage, servers, Wi-Fi 6, video conferencing and security. Turned dense technical specification into a clear commercial story.</w:t>
      </w:r>
    </w:p>
    <w:p>
      <w:pPr>
        <w:spacing w:after="40" w:before="1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Enterprise Sales</w:t>
      </w:r>
      <w:r>
        <w:rPr>
          <w:rFonts w:ascii="Calibri" w:cs="Calibri" w:eastAsia="Calibri" w:hAnsi="Calibri"/>
          <w:sz w:val="21"/>
          <w:szCs w:val="21"/>
        </w:rPr>
        <w:t xml:space="preserve">  |  2017 – 2020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Ran the full cycle end to end — sourcing, discovery, technical scoping, pricing, negotiation, close and delivery oversight — carrying a personal book of 30–40M RUB annually; deal volume doubled over my tenure.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Led a UNESCO video-conferencing rollout across a university network, supplied video infrastructure to regional airports, and migrated a manufacturing back-office to thin clients and VDI.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Sold to CTOs, procurement and operations — the people who sign, and the people who then live with the system every day.</w:t>
      </w:r>
    </w:p>
    <w:p>
      <w:pPr>
        <w:spacing w:after="2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Graphic and Web Designer — Freelance</w:t>
      </w:r>
      <w:r>
        <w:rPr>
          <w:rFonts w:ascii="Calibri" w:cs="Calibri" w:eastAsia="Calibri" w:hAnsi="Calibri"/>
          <w:sz w:val="22"/>
          <w:szCs w:val="22"/>
        </w:rPr>
        <w:t xml:space="preserve">  |  2015 – 2021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Around 23 turn-key projects across construction, engineering and legal services: visual identity, websites and 3D visualisation.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Built the brand identity for a large regional construction company — still in use today, seven years on, together with the materials system around it.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Brought in two major regional clients directly, from first contact to signed work.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Came into design from 3D and games — a visual literacy and narrative instinct I still draw on.</w:t>
      </w:r>
    </w:p>
    <w:p>
      <w:pPr>
        <w:pBdr>
          <w:bottom w:val="single" w:color="999999" w:sz="6" w:space="2"/>
        </w:pBdr>
        <w:spacing w:after="120" w:before="2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SELECTED PROJECTS</w:t>
      </w:r>
    </w:p>
    <w:p>
      <w:pPr>
        <w:spacing w:after="80" w:before="0"/>
      </w:pPr>
      <w:r>
        <w:rPr>
          <w:rFonts w:ascii="Calibri" w:cs="Calibri" w:eastAsia="Calibri" w:hAnsi="Calibri"/>
          <w:b w:val="false"/>
          <w:bCs w:val="false"/>
          <w:i/>
          <w:iCs/>
          <w:sz w:val="20"/>
          <w:szCs w:val="20"/>
        </w:rPr>
        <w:t xml:space="preserve">Full case studies at https://rev04.pro/#work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No-code Agent Builder — flagship platform: 2,000+ screen states, one pattern library.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Continuous Research Agent — living knowledge-graph research workspace; sole designer.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Cross-chain Token Bridge — 5 networks, 6 tokens, $141K volume; irreversible-action flows with visible risk signals and pre-signature clarity; shipped with its own UI kit.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Jam (music platform) — sub-50 ms latency, roughly 180 ms faster than Zoom or Meet; B2C and B2B.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Regional LLM — three iterations, each approximately 1.5x reach.</w:t>
      </w:r>
    </w:p>
    <w:p>
      <w:pPr>
        <w:pBdr>
          <w:bottom w:val="single" w:color="999999" w:sz="6" w:space="2"/>
        </w:pBdr>
        <w:spacing w:after="120" w:before="2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SKILLS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Agent and AI-Native UX: </w:t>
      </w:r>
      <w:r>
        <w:rPr>
          <w:rFonts w:ascii="Calibri" w:cs="Calibri" w:eastAsia="Calibri" w:hAnsi="Calibri"/>
          <w:sz w:val="20"/>
          <w:szCs w:val="20"/>
        </w:rPr>
        <w:t xml:space="preserve">Supervision, guardrails and observability for autonomous agents; probabilistic interfaces, failure and hallucination states, preview-before-commit patterns.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Web3 UX: </w:t>
      </w:r>
      <w:r>
        <w:rPr>
          <w:rFonts w:ascii="Calibri" w:cs="Calibri" w:eastAsia="Calibri" w:hAnsi="Calibri"/>
          <w:sz w:val="20"/>
          <w:szCs w:val="20"/>
        </w:rPr>
        <w:t xml:space="preserve">Wallets, multichain context, DeFi, dApps, smart-contract flows, staking, governance, cross-chain bridges; trust-native design for irreversible actions.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Design Systems: </w:t>
      </w:r>
      <w:r>
        <w:rPr>
          <w:rFonts w:ascii="Calibri" w:cs="Calibri" w:eastAsia="Calibri" w:hAnsi="Calibri"/>
          <w:sz w:val="20"/>
          <w:szCs w:val="20"/>
        </w:rPr>
        <w:t xml:space="preserve">Design tokens, component libraries, Figma variables and auto layout, Storybook and Zeroheight documentation, clean developer handoff.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Design Engineering: </w:t>
      </w:r>
      <w:r>
        <w:rPr>
          <w:rFonts w:ascii="Calibri" w:cs="Calibri" w:eastAsia="Calibri" w:hAnsi="Calibri"/>
          <w:sz w:val="20"/>
          <w:szCs w:val="20"/>
        </w:rPr>
        <w:t xml:space="preserve">Prototyping in working code with Cursor, Claude Code and v0; React and Next.js concepts, GitHub workflow, three.js.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AI-Assisted Delivery: </w:t>
      </w:r>
      <w:r>
        <w:rPr>
          <w:rFonts w:ascii="Calibri" w:cs="Calibri" w:eastAsia="Calibri" w:hAnsi="Calibri"/>
          <w:sz w:val="20"/>
          <w:szCs w:val="20"/>
        </w:rPr>
        <w:t xml:space="preserve">Claude Code, MCP, Figma MCP with Code Connect; agentic design-to-code pipelines; production-grade Midjourney prompt systems.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Research: </w:t>
      </w:r>
      <w:r>
        <w:rPr>
          <w:rFonts w:ascii="Calibri" w:cs="Calibri" w:eastAsia="Calibri" w:hAnsi="Calibri"/>
          <w:sz w:val="20"/>
          <w:szCs w:val="20"/>
        </w:rPr>
        <w:t xml:space="preserve">Interviews, Jobs To Be Done, usability testing; Maze, Dovetail, UserTesting; lightweight repeatable research cadences.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Data and Metrics: </w:t>
      </w:r>
      <w:r>
        <w:rPr>
          <w:rFonts w:ascii="Calibri" w:cs="Calibri" w:eastAsia="Calibri" w:hAnsi="Calibri"/>
          <w:sz w:val="20"/>
          <w:szCs w:val="20"/>
        </w:rPr>
        <w:t xml:space="preserve">Dashboards and data visualisation, real-time status and risk signals; GA4, Mixpanel, Amplitude, A/B testing.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Leadership: </w:t>
      </w:r>
      <w:r>
        <w:rPr>
          <w:rFonts w:ascii="Calibri" w:cs="Calibri" w:eastAsia="Calibri" w:hAnsi="Calibri"/>
          <w:sz w:val="20"/>
          <w:szCs w:val="20"/>
        </w:rPr>
        <w:t xml:space="preserve">Design review process, onboarding, mentoring, stakeholder management.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Tools: </w:t>
      </w:r>
      <w:r>
        <w:rPr>
          <w:rFonts w:ascii="Calibri" w:cs="Calibri" w:eastAsia="Calibri" w:hAnsi="Calibri"/>
          <w:sz w:val="20"/>
          <w:szCs w:val="20"/>
        </w:rPr>
        <w:t xml:space="preserve">Figma, Framer, Notion, Linear, Cursor.</w:t>
      </w:r>
    </w:p>
    <w:p>
      <w:pPr>
        <w:pBdr>
          <w:bottom w:val="single" w:color="999999" w:sz="6" w:space="2"/>
        </w:pBdr>
        <w:spacing w:after="120" w:before="2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EDUCATION AND CERTIFICATES</w:t>
      </w:r>
    </w:p>
    <w:p>
      <w:pPr>
        <w:spacing w:after="6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Saint Petersburg Mining University — Engineer, Specialist degree (five-year programme, equivalent to a Master’s), 2010–2015</w:t>
      </w:r>
    </w:p>
    <w:p>
      <w:pPr>
        <w:spacing w:after="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Google UX Design Professional Certificate — Google / Coursera, 2025</w:t>
      </w:r>
    </w:p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3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2026-09-05T17:38:20.973Z</dcterms:created>
  <dcterms:modified xsi:type="dcterms:W3CDTF">2026-09-05T17:38:20.985Z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